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关于2016-2020年全市法治宣传教育优秀集体和优秀个人名单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84"/>
          <w:szCs w:val="84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市委宣传部、市司法局、市法宣办《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016-2020年全市法治宣传教育工作优秀集体和优秀个人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推荐工作的通知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庆法宣办〔2022〕15号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）精神，按照</w:t>
      </w:r>
      <w:r>
        <w:rPr>
          <w:rFonts w:hint="eastAsia" w:ascii="仿宋_GB2312" w:eastAsia="仿宋_GB2312"/>
          <w:sz w:val="32"/>
          <w:szCs w:val="32"/>
        </w:rPr>
        <w:t>自下而上、逐级审核推荐的方式</w:t>
      </w:r>
      <w:r>
        <w:rPr>
          <w:rFonts w:hint="eastAsia" w:ascii="仿宋_GB2312" w:eastAsia="仿宋_GB2312"/>
          <w:sz w:val="32"/>
          <w:szCs w:val="32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016-2020年全市法治宣传教育工作优秀集体和优秀个人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党组会议研究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拟推荐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安庆市政协社会和法制委员会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等 4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个为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016-2020年全市法治宣传教育工作优秀集体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市委办公室法规科副科长万宇翔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等6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人为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016-2020年全市法治宣传教育工作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优秀个人（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名单附后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），</w:t>
      </w:r>
      <w:r>
        <w:rPr>
          <w:rFonts w:hint="eastAsia" w:ascii="仿宋" w:hAnsi="仿宋" w:eastAsia="仿宋"/>
          <w:sz w:val="32"/>
          <w:szCs w:val="32"/>
        </w:rPr>
        <w:t>现予以公示，公示期为202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如有异议或意见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请在公示期间向</w:t>
      </w:r>
      <w:r>
        <w:rPr>
          <w:rFonts w:hint="eastAsia" w:ascii="仿宋" w:hAnsi="仿宋" w:eastAsia="仿宋"/>
          <w:sz w:val="32"/>
          <w:szCs w:val="32"/>
          <w:lang w:eastAsia="zh-CN"/>
        </w:rPr>
        <w:t>市司法局普法与依法治理科或</w:t>
      </w:r>
      <w:r>
        <w:rPr>
          <w:rFonts w:hint="eastAsia" w:ascii="仿宋" w:hAnsi="仿宋" w:eastAsia="仿宋"/>
          <w:sz w:val="32"/>
          <w:szCs w:val="32"/>
        </w:rPr>
        <w:t>市纪委监委驻</w:t>
      </w:r>
      <w:r>
        <w:rPr>
          <w:rFonts w:hint="eastAsia" w:ascii="仿宋" w:hAnsi="仿宋" w:eastAsia="仿宋"/>
          <w:sz w:val="32"/>
          <w:szCs w:val="32"/>
          <w:lang w:eastAsia="zh-CN"/>
        </w:rPr>
        <w:t>市委政法委</w:t>
      </w:r>
      <w:r>
        <w:rPr>
          <w:rFonts w:hint="eastAsia" w:ascii="仿宋" w:hAnsi="仿宋" w:eastAsia="仿宋"/>
          <w:sz w:val="32"/>
          <w:szCs w:val="32"/>
        </w:rPr>
        <w:t>纪检监察组反映。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市司法局普法与依法治理科联系人：王荣球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5701513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市纪委监委驻</w:t>
      </w:r>
      <w:r>
        <w:rPr>
          <w:rFonts w:hint="eastAsia" w:ascii="仿宋" w:hAnsi="仿宋" w:eastAsia="仿宋"/>
          <w:sz w:val="32"/>
          <w:szCs w:val="32"/>
          <w:lang w:eastAsia="zh-CN"/>
        </w:rPr>
        <w:t>市委政法委</w:t>
      </w:r>
      <w:r>
        <w:rPr>
          <w:rFonts w:hint="eastAsia" w:ascii="仿宋" w:hAnsi="仿宋" w:eastAsia="仿宋"/>
          <w:sz w:val="32"/>
          <w:szCs w:val="32"/>
        </w:rPr>
        <w:t>纪检监察组联系人：杨善文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 电话：5701511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安庆市司法局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2016—2020 年全市法治宣传教育工作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优秀集体</w:t>
      </w:r>
      <w:r>
        <w:rPr>
          <w:rFonts w:hint="eastAsia" w:ascii="方正小标宋简体" w:hAnsi="黑体" w:eastAsia="方正小标宋简体" w:cs="黑体"/>
          <w:sz w:val="44"/>
          <w:szCs w:val="44"/>
        </w:rPr>
        <w:t>和优秀个人名单</w:t>
      </w:r>
    </w:p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集体（4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（一）市直单位(1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安庆市政协社会和法制委员会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安庆市纪委监委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中共安庆市委宣传部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中共安庆市委组织部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安庆市人力资源和社会保障局劳动保障监察支队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（二）县（市、区）(30个)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桐城市司法局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桐城市公安局禁毒大队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桐城市实验小学教育集团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桐城市青草镇人民政府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怀宁县法宣办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怀宁县金拱镇人民政府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怀宁县振宁小学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潜山市黄铺镇人民政府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潜山市公安局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潜山市交通运输局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中共岳西县委政法委员会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岳西县教育局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岳西县河图镇人民政府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太湖县小池镇人民政府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望江县长岭镇人民政府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望江县司法局雷池司法所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望江县太慈镇沈冲村村民委员会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宿松县洲头乡人民政府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迎江区司法局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迎江区人民法院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大观区市场监督管理局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大观区司法局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宜秀区司法局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宜秀区罗岭镇人民政府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经开区菱北办事处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个人（6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（一）市直单位（1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万宇翔  市委办公室法规科副科长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张菁娜  市人大常委会监察和司法工委办公室主任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张建军  安庆市人民政府办公室法规科科长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汪祝芬  安庆市中级人民法院民一庭法官助理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谢  竞  安庆市妇女联合会宣传部部长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朱嫱嫱  共青团安庆市委志愿者与社会工作部一级科员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檀  笑  安庆市公安局法制支队三级警长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周至远  安庆市民政局办公室（规划财务科）科长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胡晓嵬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 xml:space="preserve">  安庆市司法局宣传教育科科长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龙建平  安庆市生态环境局法宣科科长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汪  婷  安庆市应急管理局政策法规和执法监督科副科长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唐  慧  安庆市市场监督管理局法规科副科长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彭淑贤  安庆市公共资源交易监督管理局交易中心科员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王  巍  中国电信股份有限公司安庆分公司法务主管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（二）县（市、区）（4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杨周军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桐城市委宣传部宣传科科长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鲍黎蕾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桐城市法院刑庭法官助理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姚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珊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桐城市人民检察院第一检察部副主任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黄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静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桐城市司法局普法与依法治理科科长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束玲玲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桐城市自然资源和规划局政策法规科科长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刘凤玲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怀宁县委政法委政工科科长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张付明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怀宁县委宣传部工作人员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刘新林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怀宁县公安局法制室副主任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朱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羽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怀宁县凉亭司法所所长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汪李英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怀宁县马庙司法所副所长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刘宗涛  潜山市官庄镇官庄村村委会党总支副书记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储冬云  潜山市检察院政治部一级科员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徐媛媛  潜山市法院四级书记员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李俊红  潜山市司法局普法与依法治理科长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华尧舜  潜山市黄泥镇中心学校校长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刘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曦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岳西县委宣传部网信中心副主任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裴怀宇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岳西县检察院未检办主任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尹锡海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岳西县城管局政策法规股负责人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蒋先玲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岳西县司法局公共法律服务股负责人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刘绍文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岳西县莲云乡腾云村村书记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叶玲玲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太湖县融媒体中心党组成员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孙海兰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太湖县司法局普法与依法治理股股长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张旌旗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张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云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太湖县司法局徐桥司法所副所长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黄诗韵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共青团太湖县委员会宣传与网络工作部部长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何铁军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望江县司法局鸦滩司法所所长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周忠来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望江县第三小学副校长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聂胜锋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 xml:space="preserve"> 望江县司法局高士司法所副所长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曹彩霞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望江县司法局华阳司法所所长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吴满根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望江县司法局漳湖司法所所长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柴少干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宿松县委政法委政工科科长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李政平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宿松县公安局交通管理警察大队宣教股副股长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虞邦富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宿松县农业农村局法规股股长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刘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苗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宿松县司法局普法与依法治理股股长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吴永前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宿松县实验中学教研处副主任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汪永松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宿松县华亭镇五谷村村民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孙君玲  迎江区人民检察院第一检察部检察官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吴承钧  迎江公安分局法制科副科长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杨  磊  迎江区新闻中心办事员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姚  瑶  大观区委宣传部科员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邵  伟  大观区人民检察院第一检察部副主任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280" w:hanging="1280" w:hangingChars="4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杨闻珉  大观区人民法院审判管理办公室（研究室）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277" w:leftChars="608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吴宜俊  宜秀区人民法院杨桥法庭庭长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严皎皎  宜秀区市场监督管理局政策法规股负责人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孙  青  宜秀区司法局普法依法治理科工作人员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韩丹莹  经开区政法办综合办主办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3AD"/>
    <w:multiLevelType w:val="multilevel"/>
    <w:tmpl w:val="40EA13A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AB"/>
    <w:rsid w:val="00026000"/>
    <w:rsid w:val="000332A3"/>
    <w:rsid w:val="000B5851"/>
    <w:rsid w:val="00212308"/>
    <w:rsid w:val="002213E7"/>
    <w:rsid w:val="002400E0"/>
    <w:rsid w:val="002B4B22"/>
    <w:rsid w:val="002D54BD"/>
    <w:rsid w:val="0032744D"/>
    <w:rsid w:val="0036775A"/>
    <w:rsid w:val="00395134"/>
    <w:rsid w:val="0040345E"/>
    <w:rsid w:val="0051309E"/>
    <w:rsid w:val="005E7EAE"/>
    <w:rsid w:val="00627E1A"/>
    <w:rsid w:val="006A2A60"/>
    <w:rsid w:val="006B6CBD"/>
    <w:rsid w:val="00734303"/>
    <w:rsid w:val="007661C6"/>
    <w:rsid w:val="009140AB"/>
    <w:rsid w:val="009E5221"/>
    <w:rsid w:val="00A23B52"/>
    <w:rsid w:val="00AD296A"/>
    <w:rsid w:val="00AF234F"/>
    <w:rsid w:val="00AF41A1"/>
    <w:rsid w:val="00AF7114"/>
    <w:rsid w:val="00B96342"/>
    <w:rsid w:val="00C01084"/>
    <w:rsid w:val="00CD26F3"/>
    <w:rsid w:val="00CD2B9E"/>
    <w:rsid w:val="00D13FF8"/>
    <w:rsid w:val="00D16CDF"/>
    <w:rsid w:val="00D75256"/>
    <w:rsid w:val="00DE141A"/>
    <w:rsid w:val="00F53491"/>
    <w:rsid w:val="00F92FC7"/>
    <w:rsid w:val="13B91943"/>
    <w:rsid w:val="3990319A"/>
    <w:rsid w:val="5AF5755B"/>
    <w:rsid w:val="5E033273"/>
    <w:rsid w:val="69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</w:pPr>
    <w:rPr>
      <w:rFonts w:ascii="黑体" w:hAnsi="Times New Roman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2016-09-07T08:13:00Z</dcterms:created>
  <dc:creator>ty</dc:creator>
  <cp:lastModifiedBy>Administrator</cp:lastModifiedBy>
  <cp:lastPrinted>2016-09-07T08:58:00Z</cp:lastPrinted>
  <dcterms:modified xsi:type="dcterms:W3CDTF">2022-11-14T04:34:28Z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